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151 vom 8. Oktober 1990</w:t>
      </w:r>
    </w:p>
    <w:p>
      <w:r>
        <w:t>Bundesgericht (BGE), 1990-10-08, DE</w:t>
      </w:r>
    </w:p>
    <w:p>
      <w:r>
        <w:rPr>
          <w:b/>
        </w:rPr>
        <w:t xml:space="preserve">Quelle: </w:t>
      </w:r>
      <w:r>
        <w:t>https://mcp.opencaselaw.ch/entscheid/bge_116 IB 151</w:t>
      </w:r>
    </w:p>
    <w:p>
      <w:r>
        <w:t>FR: BGE 116 IB 151 du 8 octobre 1990</w:t>
      </w:r>
    </w:p>
    <w:p>
      <w:r>
        <w:t>IT: BGE 116 IB 151 del 8 ottobre 1990</w:t>
      </w:r>
    </w:p>
    <w:p>
      <w:pPr>
        <w:pStyle w:val="Heading2"/>
      </w:pPr>
      <w:r>
        <w:t>Regeste</w:t>
      </w:r>
    </w:p>
    <w:p>
      <w:r>
        <w:t>Regeste Art. 17 Abs. 1 lit. d SVG; Berechnung der Rückfallsfrist. Auch wenn der frühere Führerausweisentzug nicht nur wegen Fahrens in angetrunkenem Zustand, sondern zusätzlich wegen anderer Widerhandlungen gegen die Strassenverkehrsordnung verhängt worden war, beginnt die fünfjährige Rückfallsfrist des Art. 17 Abs. 1 lit. d SVG erst mit dem Ablauf der analog zu Art. 68 StGB bemessenen (Gesamt-)Massnahme zu laufen.</w:t>
      </w:r>
    </w:p>
    <w:p>
      <w:pPr>
        <w:pStyle w:val="Heading2"/>
      </w:pPr>
      <w:r>
        <w:t>Erwägungen</w:t>
      </w:r>
    </w:p>
    <w:p>
      <w:r>
        <w:rPr>
          <w:b/>
        </w:rPr>
        <w:t>E. 3</w:t>
      </w:r>
    </w:p>
    <w:p>
      <w:r>
        <w:t>a) Der Beschwerdeführer fuhr bereits am 13. September 1984 in angetrunkenem Zustand (mindestens 1,61 Gew.-%o). Die kontrollierenden Polizeibeamten konnten ihm damals den angeblich verlorenen Führerausweis nicht sofort abnehmen. Der Beschwerdeführer wurde jedoch auf den Entzug der Fahrberechtigung und die Folgen der Missachtung hingewiesen. Noch bevor ihm die definitive Entzugsverfügung eröffnet werden konnte, übertrat er am 27. September 1984 das Fahrverbot. In der Folge wurde wegen beider Widerhandlungen am 22. Oktober 1984 eine (Gesamt-)Massnahme von acht Monaten ausgesprochen, deren Vollstreckung vom 13. September 1984 bis zum 12. Mai 1985 dauerte. Nach Ansicht der Vorinstanz ist die fünfjährige Frist des Art. 17 Abs. 1 lit. d SVG von diesem Datum an zu berechnen. Der Beschwerdeführer vertritt demgegenüber die Auffassung, die Frist sei ab dem 13. November 1984 zu berechnen, da die Entzugsdauer für die beiden Verkehrsregelverstösse gesondert zu bestimmen sei und für das erstmalige Fahren in angetrunkenem Zustand der Ausweis von Gesetzes wegen nur für zwei Monate entzogen werden könne. Da der Beschwerdeführer am 22. Januar 1990 erneut in angetrunkenem Zustand gefahren ist, kommt bei der Betrachtungsweise der Vorinstanz Art. 17 Abs. 1 lit. d SVG zur Anwendung, bei der Auffassung des Beschwerdeführers demgegenüber nicht. b) Die Rekurskommission des Kantons Bern für Massnahmen gegenüber Fahrzeugführern wies am 24. März 1986 eine Beschwerde gegen die Verfügung vom 22. Oktober 1984 ab und stellte dabei fest, da die Blutalkoholkonzentration mehr als das Doppelte der Limite von 0,8 Gew.-%o betragen und der Beschwerdeführer das Delikt vorsätzlich begangen habe, hätte für das Fahren in angetrunkenem Zustand allein trotz der beruflichen Notwendigkeit zum Führen eines Motorfahrzeuges eine Entzugsdauer von mehr BGE 116 Ib 151 S. 153 als zwei Monaten ausgesprochen werden müssen. Dieser Entscheid ist rechtskräftig und somit heute nicht mehr zu überprüfen. Folglich ist der Einwand des Beschwerdeführers, es hätte für das erstmalige Fahren in angetrunkenem Zustand allein nur ein zweimonatiger Führerausweisentzug verfügt werden dürfen, von vornherein unbehelflich. Da seinerzeit für das Fahren in angetrunkenem Zustand und das Fahren trotz entzogenem Führerausweis gesamthaft ein Ausweisentzug von acht Monaten verfügt worden ist, erscheint es andererseits aber auch als fraglich, ob allein für das Fahren in angetrunkenem Zustand eine Administrativmassnahme von mehr als vier Monaten verhängt worden wäre. Wäre dies der Fall, hätte auch nach der Auffassung des Beschwerdeführers die fünfjährige Frist des Art. 17 Abs. 1 lit. d SVG erst nach dem 22. Januar 1985 zu laufen begonnen. Die Frage kann jedoch offenbleiben, da der Ansicht des Beschwerdeführers ohnehin nicht gefolgt werden kann. c) Nach Art. 17 Abs. 1 lit. d SVG beträgt die Dauer des Führerausweisentzugs mindestens ein Jahr, wenn der Fahrzeuglenker innert fünf Jahren seit Ablauf eines früheren Entzugs wegen Fahrens in angetrunkenem Zustand erneut in diesem Zustand gefahren ist. Für die Berechnung der Rückfallsfrist bestimmt diese Vorschrift nur, dass sie nach Ablauf der früheren Administrativmassnahme zu laufen beginnt. Den Fall, in welchem der frühere Führerausweisentzug nicht nur wegen Fahrens in angetrunkenem Zustand, sondern zusätzlich wegen anderer Widerhandlungen gegen die Strassenverkehrsordnung verhängt worden war, regelt Art. 17 SVG nicht. Gemäss der Rechtsprechung des Bundesgerichtes ist Art. 68 StGB sinngemäss anwendbar, wenn durch mehrere Handlungen mehrere Entzugsgründe gesetzt werden ( BGE 113 Ib 56 ). Der Richter hat also auf die Administrativmassnahme für die schwerste Widerhandlung zu erkennen und deren Dauer angemessen zu erhöhen. Der Beschwerdeführer will nun diese (Gesamt-)Massnahme nachträglich wieder in einzelne Teile aufspalten. Dieser Auffassung kann nicht gefolgt werden. Die Administrativbehörde beurteilt die verschiedenen verwirklichten Tatbestände gemeinsam und bestimmt letztlich die Entzugsdauer durch ein einziges Abwägen aller massgebenden Umstände, auch wenn sie in analoger Anwendung von Art. 68 Ziff. 1 StGB in zwei Schritten vorgeht, bei denen aber keine genaue Festlegung der Entzugsdauer für die schwerste Widerhandlung BGE 116 Ib 151 S. 154 einerseits und deren Erhöhung für die geringfügigeren Widerhandlungen andererseits zu erfolgen hat. Das Ergebnis dieser Überlegungen stellt eine einzige Massnahme dar, die für alle Widerhandlungen gemeinsam ausgesprochen wird. Diese Ausgestaltung des Instituts der (Gesamt-)Massnahme hat Auswirkungen auf deren Vollzug. In bezug auf das Strafrecht stellen SCHÖNKE/SCHRÖDER/STREE zu Recht fest, für die Verbüssung bilde die Gesamtstrafe eine Einheit; "jeder Teil von ihr, der verbüsst wird, ist wegen aller bezeichneten Straftaten verbüsst" (Strafgesetzbuch, Kommentar, 23. Aufl., N 20 zu § 54 dStGB). Dasselbe gilt für die Administrativmassnahmen. Es ist denn auch nicht zu sehen, nach welchen Kriterien die vom Beschwerdeführer angestrebte Aufspaltung überzeugend vorgenommen werden könnte. Insbesondere spricht nichts dafür, dass ausgerechnet die ersten Monate der vollzogenen Massnahme die Sanktion für das Fahren in angetrunkenem Zustand dargestellt haben sollten. Das Bundesamt für Polizeiwesen weist in seiner Stellungnahme zu Recht darauf hin, man könne sich auch auf den Standpunkt stellen, die mit der schwersten Massnahme bedrohte Handlung (im vorliegenden Fall also das Fahren trotz Ausweisentzug) sei zuerst vollzogen worden. Die Auffassung der Vorinstanz stellt jedoch nicht nur eine einfache und vernünftige Lösung dar, sie entspricht auch dem Sinn und Zweck der gesetzlichen Regelung. Bei der Schaffung der verschärften Entzugsgründe von Art. 17 Abs. 1 lit. c und d SVG ging es dem Gesetzgeber darum, diejenigen Fahrzeuglenker besonders hart zu treffen, die sich durch eine erste Administrativmassnahme nicht beeindrucken liessen. Die Rückfallsfrist ist dabei eine Bewährungsfrist, die naturgemäss erst zu laufen beginnen kann, wenn der Betroffene wieder im Besitz des Führerausweises ist, d.h. wenn die (Gesamt-)Massnahme vollumfänglich vollzogen ist. Was der Beschwerdeführer vorbringt, dringt nicht durch. BGE 114 Ib 41 befasste sich mit der vorliegend interessierenden Frage der Berechnung der Rückfallsfrist nicht, sondern es ging um das Problem, ob unter bestimmten Umständen überhaupt ein Rückfall vorliegt; das Bundesgericht hat in diesem Entscheid im übrigen nicht festgestellt, Art. 14 Abs. 1 lit. d SVG sei restriktiv auszulegen. Auch der Hinweis auf BGE 108 Ib 259 geht an der Sache vorbei, denn dieses Präjudiz befasst sich ebenfalls nicht mit der Berechnung der Rückfallsfrist, sondern besagt nur, dass Art. 68 StGB analog auf Führerausweisentzüge angewendet werden soll. BGE 116 Ib 151 S. 155 Weiter macht der Beschwerdeführer geltend, die Entzugsdauer wegen des Fahrens trotz Ausweisentzug könne unmöglich schon am 13. September 1984 begonnen haben, da er erst später, nämlich am 27. September 1984 ohne Ausweis gefahren sei. Formal mag dieser Einwand nicht ganz unberechtigt sein, er vermag jedoch angesichts des oben Gesagten nicht durchzudringen. Entscheidend ist, dass im vorliegenden Fall mit Verfügung vom 22. Oktober 1984 eine Gesamtmassnahme ausgesprochen worden ist; dass deren Vollstreckung unter den gegebenen Umständen bereits vor dem zweiten, zur Beurteilung stehenden Delikt begann, ändert nichts daran, dass eine Gesamtmassnahme nachträglich nicht in Einzelteile aufgesplittert werden kann. Im übrigen behauptet der Beschwerdeführer nur mehrfach, die Annahme der Vorinstanz sei unrichtig, krass falsch und gesetzwidrig, ohne jedoch überzeugende Gründe, die für seine eigene Meinung sprechen könnten, anzugeben. Ist nach dem Gesagten von der Rechtsauffassung der Vorinstanz auszugehen, hat sie zu Recht angenommen, der Beschwerdeführer sei innert der Frist des Art. 17 Abs. 1 lit. d SVG rückfällig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